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67A9" w14:textId="77777777" w:rsidR="00C401D0" w:rsidRPr="004474D8" w:rsidRDefault="004474D8" w:rsidP="00B036CF">
      <w:pPr>
        <w:jc w:val="center"/>
        <w:rPr>
          <w:b/>
          <w:szCs w:val="22"/>
        </w:rPr>
      </w:pPr>
      <w:r w:rsidRPr="004474D8">
        <w:rPr>
          <w:b/>
          <w:szCs w:val="22"/>
        </w:rPr>
        <w:t>TÁJÉKOZTATÁS - VÁLTOZÁSOK!</w:t>
      </w:r>
    </w:p>
    <w:p w14:paraId="23963284" w14:textId="77777777" w:rsidR="0012488E" w:rsidRDefault="0012488E" w:rsidP="0012488E">
      <w:pPr>
        <w:jc w:val="both"/>
        <w:rPr>
          <w:sz w:val="22"/>
          <w:szCs w:val="22"/>
        </w:rPr>
      </w:pPr>
    </w:p>
    <w:p w14:paraId="4950C236" w14:textId="0B24F34B" w:rsidR="0012488E" w:rsidRPr="00B80819" w:rsidRDefault="0012488E" w:rsidP="0012488E">
      <w:pPr>
        <w:jc w:val="both"/>
      </w:pPr>
      <w:r w:rsidRPr="00B80819">
        <w:t>Használatba vételi eljárásban az MMBH Szakhatóságként működik közre, amennyiben a villamos berendezés első túláramvédelmi szervének névleges teljesítménye meghaladja az 50 kW-ot. Ezt a 281/2024 (IX.30.) kormányrendelet írja elő.</w:t>
      </w:r>
    </w:p>
    <w:p w14:paraId="3A376756" w14:textId="77777777" w:rsidR="0012488E" w:rsidRPr="00B80819" w:rsidRDefault="0012488E" w:rsidP="0012488E">
      <w:pPr>
        <w:jc w:val="both"/>
      </w:pPr>
      <w:r w:rsidRPr="00B80819">
        <w:t xml:space="preserve">Ezenkívül: 281/2024. (IX.30.) Korm. rendelet 3. melléklet táblázatának 7. sora rögzíti a vizsgálatköteles minimális teljesítményszintet amely alapján a Műszaki biztonsági hatóság engedélyezési és hatósági ellenőrzési jogkört gyakorol, </w:t>
      </w:r>
      <w:r w:rsidRPr="00B80819">
        <w:rPr>
          <w:b/>
        </w:rPr>
        <w:t>a villamos berendezésekre vonatkozó szakhatósági állásfoglalását</w:t>
      </w:r>
      <w:r w:rsidRPr="00B80819">
        <w:t xml:space="preserve"> és az építésügyi hatósági hatáskörébe tartozó sajátos építményfajták használatbavételi engedélyét </w:t>
      </w:r>
      <w:r w:rsidRPr="00B80819">
        <w:rPr>
          <w:b/>
        </w:rPr>
        <w:t>megalapozó villamos biztonságtechnikai ellenőrzést folytat le a külön jogszabályban meghatározott igazgatási szolgáltatási díj ellenében</w:t>
      </w:r>
      <w:r w:rsidRPr="00B80819">
        <w:t>.</w:t>
      </w:r>
    </w:p>
    <w:p w14:paraId="7A842049" w14:textId="4820623A" w:rsidR="0012488E" w:rsidRPr="00B80819" w:rsidRDefault="0012488E" w:rsidP="0012488E">
      <w:pPr>
        <w:jc w:val="both"/>
      </w:pPr>
      <w:r w:rsidRPr="00B80819">
        <w:t xml:space="preserve">Ezen jogszabály a 61/2016. (XII. 29.) NGM rendelet. Ezen rendelet mellékletének 6/2 pontja tartalmazza a villamos biztonságtechnikai ellenőrzés díjait. A díjak az első túláramvédelmi szerv névleges teljesítményének nagyságától függenek. </w:t>
      </w:r>
    </w:p>
    <w:p w14:paraId="39D78CC0" w14:textId="77777777" w:rsidR="0012488E" w:rsidRPr="00B80819" w:rsidRDefault="0012488E" w:rsidP="0012488E">
      <w:pPr>
        <w:jc w:val="both"/>
      </w:pPr>
      <w:r w:rsidRPr="00B80819">
        <w:t>Tehát a villamos biztonságtechnikai ellenőrzés díja a 61/2016. (XII. 29.) NGM melléklet 6/2. szerint:</w:t>
      </w:r>
    </w:p>
    <w:p w14:paraId="5A02666E" w14:textId="77777777" w:rsidR="0061549B" w:rsidRDefault="0061549B" w:rsidP="0061549B">
      <w:pPr>
        <w:jc w:val="both"/>
        <w:rPr>
          <w:sz w:val="22"/>
          <w:szCs w:val="22"/>
        </w:rPr>
      </w:pPr>
    </w:p>
    <w:p w14:paraId="5E49D00A" w14:textId="2B4D6E7F" w:rsidR="00B80819" w:rsidRPr="00B80819" w:rsidRDefault="00B80819" w:rsidP="00B80819">
      <w:pPr>
        <w:jc w:val="center"/>
        <w:rPr>
          <w:b/>
          <w:bCs/>
          <w:sz w:val="32"/>
          <w:szCs w:val="32"/>
        </w:rPr>
      </w:pPr>
      <w:r w:rsidRPr="00B80819">
        <w:rPr>
          <w:b/>
          <w:bCs/>
          <w:sz w:val="32"/>
          <w:szCs w:val="32"/>
        </w:rPr>
        <w:t>Változás!!!</w:t>
      </w:r>
    </w:p>
    <w:p w14:paraId="6B347A40" w14:textId="77777777" w:rsidR="00B80819" w:rsidRDefault="00B80819" w:rsidP="0061549B">
      <w:pPr>
        <w:jc w:val="both"/>
        <w:rPr>
          <w:sz w:val="22"/>
          <w:szCs w:val="22"/>
        </w:rPr>
      </w:pPr>
    </w:p>
    <w:p w14:paraId="300C9DDA" w14:textId="77777777" w:rsidR="00B80819" w:rsidRDefault="00B80819" w:rsidP="00B80819">
      <w:pPr>
        <w:jc w:val="center"/>
        <w:rPr>
          <w:b/>
          <w:bCs/>
          <w:sz w:val="32"/>
          <w:szCs w:val="32"/>
        </w:rPr>
      </w:pPr>
      <w:r w:rsidRPr="00B80819">
        <w:rPr>
          <w:b/>
          <w:bCs/>
          <w:sz w:val="32"/>
          <w:szCs w:val="32"/>
        </w:rPr>
        <w:t>Már nem a beépített teljesítmény, hanem az</w:t>
      </w:r>
    </w:p>
    <w:p w14:paraId="3C679FDF" w14:textId="50A2A8CB" w:rsidR="00B80819" w:rsidRPr="00B80819" w:rsidRDefault="00B80819" w:rsidP="00B80819">
      <w:pPr>
        <w:jc w:val="center"/>
        <w:rPr>
          <w:b/>
          <w:bCs/>
          <w:sz w:val="32"/>
          <w:szCs w:val="32"/>
        </w:rPr>
      </w:pPr>
      <w:r w:rsidRPr="00B80819">
        <w:rPr>
          <w:b/>
          <w:bCs/>
          <w:sz w:val="32"/>
          <w:szCs w:val="32"/>
        </w:rPr>
        <w:t xml:space="preserve"> </w:t>
      </w:r>
      <w:r w:rsidRPr="00B80819">
        <w:rPr>
          <w:b/>
          <w:bCs/>
          <w:sz w:val="32"/>
          <w:szCs w:val="32"/>
        </w:rPr>
        <w:t xml:space="preserve">első túláramvédelmi </w:t>
      </w:r>
      <w:proofErr w:type="gramStart"/>
      <w:r w:rsidRPr="00B80819">
        <w:rPr>
          <w:b/>
          <w:bCs/>
          <w:sz w:val="32"/>
          <w:szCs w:val="32"/>
        </w:rPr>
        <w:t>szerv névleges teljesítménye</w:t>
      </w:r>
      <w:proofErr w:type="gramEnd"/>
      <w:r>
        <w:rPr>
          <w:b/>
          <w:bCs/>
          <w:sz w:val="32"/>
          <w:szCs w:val="32"/>
        </w:rPr>
        <w:t xml:space="preserve"> vagyis az</w:t>
      </w:r>
      <w:r w:rsidRPr="00B80819">
        <w:rPr>
          <w:b/>
          <w:bCs/>
          <w:sz w:val="32"/>
          <w:szCs w:val="32"/>
        </w:rPr>
        <w:t xml:space="preserve"> egyidejű teljesítmény számít</w:t>
      </w:r>
      <w:r>
        <w:rPr>
          <w:b/>
          <w:bCs/>
          <w:sz w:val="32"/>
          <w:szCs w:val="32"/>
        </w:rPr>
        <w:t>!</w:t>
      </w:r>
    </w:p>
    <w:p w14:paraId="4B81E56A" w14:textId="77777777" w:rsidR="00B80819" w:rsidRPr="00E036EA" w:rsidRDefault="00B80819" w:rsidP="0061549B">
      <w:pPr>
        <w:jc w:val="both"/>
        <w:rPr>
          <w:sz w:val="22"/>
          <w:szCs w:val="22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3717"/>
        <w:gridCol w:w="1732"/>
      </w:tblGrid>
      <w:tr w:rsidR="00FF05ED" w:rsidRPr="00B80819" w14:paraId="19DCD91D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5B65A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153DD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 xml:space="preserve">50 </w:t>
            </w:r>
            <w:proofErr w:type="spellStart"/>
            <w:r w:rsidRPr="00B80819">
              <w:rPr>
                <w:sz w:val="32"/>
                <w:szCs w:val="32"/>
              </w:rPr>
              <w:t>kVA</w:t>
            </w:r>
            <w:proofErr w:type="spellEnd"/>
            <w:r w:rsidRPr="00B80819">
              <w:rPr>
                <w:sz w:val="32"/>
                <w:szCs w:val="32"/>
              </w:rPr>
              <w:t xml:space="preserve"> felett 0,1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B35D5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59 400 Ft</w:t>
            </w:r>
          </w:p>
        </w:tc>
      </w:tr>
      <w:tr w:rsidR="00FF05ED" w:rsidRPr="00B80819" w14:paraId="380C7648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1F1DF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8C4AA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0,1 MVA felett 0,5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D80A2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118 800 Ft</w:t>
            </w:r>
          </w:p>
        </w:tc>
      </w:tr>
      <w:tr w:rsidR="00FF05ED" w:rsidRPr="00B80819" w14:paraId="14BF87C9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2812C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25DBC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0,5 MVA felett 1,0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2CC97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594 000 Ft</w:t>
            </w:r>
          </w:p>
        </w:tc>
      </w:tr>
      <w:tr w:rsidR="00FF05ED" w:rsidRPr="00B80819" w14:paraId="5E988996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8F613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4F864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1 MVA felett 2,0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9E4B9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1 188 000 Ft</w:t>
            </w:r>
          </w:p>
        </w:tc>
      </w:tr>
      <w:tr w:rsidR="00FF05ED" w:rsidRPr="00B80819" w14:paraId="235A189B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32D6A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200E4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 MVA felett 4,0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90C50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2 376 000 Ft</w:t>
            </w:r>
          </w:p>
        </w:tc>
      </w:tr>
      <w:tr w:rsidR="00FF05ED" w:rsidRPr="00B80819" w14:paraId="294B83D9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A6FB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8DF9E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4 MVA felett 8,0 MVA-</w:t>
            </w:r>
            <w:proofErr w:type="spellStart"/>
            <w:r w:rsidRPr="00B80819">
              <w:rPr>
                <w:sz w:val="32"/>
                <w:szCs w:val="32"/>
              </w:rPr>
              <w:t>ig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7BAF1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4 752 000 Ft</w:t>
            </w:r>
          </w:p>
        </w:tc>
      </w:tr>
      <w:tr w:rsidR="00FF05ED" w:rsidRPr="00B80819" w14:paraId="0F487409" w14:textId="77777777" w:rsidTr="00FF05ED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DDC92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2.7.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3A47C" w14:textId="77777777" w:rsidR="00FF05ED" w:rsidRPr="00B80819" w:rsidRDefault="00FF05ED" w:rsidP="00444CDD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8 MVA felett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9DB8D" w14:textId="77777777" w:rsidR="00FF05ED" w:rsidRPr="00B80819" w:rsidRDefault="00FF05ED" w:rsidP="00444CDD">
            <w:pPr>
              <w:spacing w:before="100" w:beforeAutospacing="1" w:after="100" w:afterAutospacing="1"/>
              <w:jc w:val="right"/>
              <w:rPr>
                <w:sz w:val="32"/>
                <w:szCs w:val="32"/>
              </w:rPr>
            </w:pPr>
            <w:r w:rsidRPr="00B80819">
              <w:rPr>
                <w:sz w:val="32"/>
                <w:szCs w:val="32"/>
              </w:rPr>
              <w:t>6 534 000 Ft</w:t>
            </w:r>
          </w:p>
        </w:tc>
      </w:tr>
    </w:tbl>
    <w:p w14:paraId="082AC53A" w14:textId="77777777" w:rsidR="006E7E95" w:rsidRDefault="006E7E95" w:rsidP="00FF05ED">
      <w:pPr>
        <w:rPr>
          <w:sz w:val="14"/>
          <w:szCs w:val="22"/>
        </w:rPr>
      </w:pPr>
    </w:p>
    <w:p w14:paraId="788DDFF9" w14:textId="77777777" w:rsidR="00FF05ED" w:rsidRPr="006E7E95" w:rsidRDefault="00FF05ED" w:rsidP="00ED0788">
      <w:pPr>
        <w:jc w:val="both"/>
        <w:rPr>
          <w:sz w:val="14"/>
          <w:szCs w:val="22"/>
        </w:rPr>
      </w:pPr>
    </w:p>
    <w:p w14:paraId="45156342" w14:textId="77777777" w:rsidR="00B80819" w:rsidRDefault="00B80819" w:rsidP="006E7E95">
      <w:pPr>
        <w:jc w:val="center"/>
      </w:pPr>
    </w:p>
    <w:p w14:paraId="38FC74FA" w14:textId="77777777" w:rsidR="00B80819" w:rsidRDefault="00B80819" w:rsidP="006E7E95">
      <w:pPr>
        <w:jc w:val="center"/>
      </w:pPr>
    </w:p>
    <w:p w14:paraId="6BDCF3D2" w14:textId="608DBF9B" w:rsidR="00AA671F" w:rsidRPr="00B80819" w:rsidRDefault="00AA671F" w:rsidP="006E7E95">
      <w:pPr>
        <w:jc w:val="center"/>
      </w:pPr>
      <w:r w:rsidRPr="00B80819">
        <w:t xml:space="preserve">Megjegyzés: </w:t>
      </w:r>
      <w:r w:rsidR="001916ED" w:rsidRPr="00B80819">
        <w:t xml:space="preserve">Létesítmény rövid neve és címe + </w:t>
      </w:r>
      <w:r w:rsidRPr="00B80819">
        <w:t>VBE díj</w:t>
      </w:r>
      <w:r w:rsidR="00772E4E" w:rsidRPr="00B80819">
        <w:t xml:space="preserve"> (</w:t>
      </w:r>
      <w:proofErr w:type="spellStart"/>
      <w:proofErr w:type="gramStart"/>
      <w:r w:rsidR="00772E4E" w:rsidRPr="00B80819">
        <w:rPr>
          <w:i/>
        </w:rPr>
        <w:t>pl</w:t>
      </w:r>
      <w:proofErr w:type="spellEnd"/>
      <w:r w:rsidR="00772E4E" w:rsidRPr="00B80819">
        <w:rPr>
          <w:i/>
        </w:rPr>
        <w:t>.:Bp.</w:t>
      </w:r>
      <w:proofErr w:type="gramEnd"/>
      <w:r w:rsidR="00772E4E" w:rsidRPr="00B80819">
        <w:rPr>
          <w:i/>
        </w:rPr>
        <w:t xml:space="preserve"> VI. </w:t>
      </w:r>
      <w:proofErr w:type="gramStart"/>
      <w:r w:rsidR="00772E4E" w:rsidRPr="00B80819">
        <w:rPr>
          <w:i/>
        </w:rPr>
        <w:t>Rózsa .</w:t>
      </w:r>
      <w:proofErr w:type="gramEnd"/>
      <w:r w:rsidR="00772E4E" w:rsidRPr="00B80819">
        <w:rPr>
          <w:i/>
        </w:rPr>
        <w:t xml:space="preserve"> 99. iskola – VBE díj</w:t>
      </w:r>
      <w:r w:rsidR="00772E4E" w:rsidRPr="00B80819">
        <w:t>)</w:t>
      </w:r>
    </w:p>
    <w:p w14:paraId="1682B082" w14:textId="77777777" w:rsidR="00C66D04" w:rsidRPr="00B80819" w:rsidRDefault="00C66D04" w:rsidP="00ED0788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  <w:lang w:eastAsia="zh-CN"/>
        </w:rPr>
      </w:pPr>
    </w:p>
    <w:p w14:paraId="2EBA3063" w14:textId="4A5D3574" w:rsidR="00AA671F" w:rsidRPr="00B80819" w:rsidRDefault="00D30DE1" w:rsidP="00C66D04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B80819">
        <w:rPr>
          <w:b/>
          <w:bCs/>
        </w:rPr>
        <w:t xml:space="preserve">Az átutalás megtörténtét igazoló bizonylatokat az átutalás megtörténtét követően </w:t>
      </w:r>
      <w:r w:rsidR="00BA6C7F" w:rsidRPr="00B80819">
        <w:rPr>
          <w:b/>
          <w:bCs/>
        </w:rPr>
        <w:t>PDF-fájlban a lehető leghamarabb</w:t>
      </w:r>
      <w:r w:rsidRPr="00B80819">
        <w:rPr>
          <w:b/>
          <w:bCs/>
        </w:rPr>
        <w:t xml:space="preserve"> kérem elküldeni a </w:t>
      </w:r>
      <w:r w:rsidRPr="00B80819">
        <w:rPr>
          <w:b/>
          <w:bCs/>
          <w:color w:val="FF0000"/>
          <w:u w:val="single"/>
        </w:rPr>
        <w:t>ratai</w:t>
      </w:r>
      <w:r w:rsidR="00C66D04" w:rsidRPr="00B80819">
        <w:rPr>
          <w:b/>
          <w:bCs/>
          <w:caps/>
          <w:color w:val="FF0000"/>
          <w:u w:val="single"/>
        </w:rPr>
        <w:t>.</w:t>
      </w:r>
      <w:r w:rsidRPr="00B80819">
        <w:rPr>
          <w:b/>
          <w:bCs/>
          <w:color w:val="FF0000"/>
          <w:u w:val="single"/>
        </w:rPr>
        <w:t>attila@</w:t>
      </w:r>
      <w:r w:rsidR="00B233D3" w:rsidRPr="00B80819">
        <w:rPr>
          <w:b/>
          <w:bCs/>
          <w:color w:val="FF0000"/>
          <w:u w:val="single"/>
        </w:rPr>
        <w:t>gmail.com</w:t>
      </w:r>
      <w:r w:rsidRPr="00B80819">
        <w:rPr>
          <w:b/>
          <w:bCs/>
        </w:rPr>
        <w:t xml:space="preserve"> címre, a számlázási címmel (név, cím, adószám) együtt!</w:t>
      </w:r>
    </w:p>
    <w:p w14:paraId="37DF128B" w14:textId="77777777" w:rsidR="00404100" w:rsidRPr="00B80819" w:rsidRDefault="00404100" w:rsidP="00E8616B">
      <w:pPr>
        <w:jc w:val="both"/>
      </w:pPr>
    </w:p>
    <w:p w14:paraId="4D0557FE" w14:textId="77777777" w:rsidR="00B80819" w:rsidRDefault="00B80819" w:rsidP="00E8616B">
      <w:pPr>
        <w:jc w:val="both"/>
      </w:pPr>
    </w:p>
    <w:p w14:paraId="105334DB" w14:textId="77777777" w:rsidR="00B80819" w:rsidRPr="00B80819" w:rsidRDefault="00B80819" w:rsidP="00B80819">
      <w:pPr>
        <w:pStyle w:val="NormlWeb"/>
        <w:ind w:right="150"/>
        <w:contextualSpacing/>
        <w:jc w:val="center"/>
        <w:rPr>
          <w:b/>
          <w:sz w:val="36"/>
          <w:szCs w:val="22"/>
        </w:rPr>
      </w:pPr>
      <w:r w:rsidRPr="00B80819">
        <w:rPr>
          <w:b/>
          <w:sz w:val="36"/>
          <w:szCs w:val="22"/>
        </w:rPr>
        <w:t>KÉREM, NE FELEDJE – ÚJ SZÁMLASZÁM!</w:t>
      </w:r>
    </w:p>
    <w:p w14:paraId="631F7732" w14:textId="77777777" w:rsidR="00B80819" w:rsidRPr="00B80819" w:rsidRDefault="00B80819" w:rsidP="00B80819">
      <w:pPr>
        <w:pStyle w:val="NormlWeb"/>
        <w:ind w:right="150"/>
        <w:contextualSpacing/>
        <w:jc w:val="center"/>
        <w:rPr>
          <w:b/>
          <w:sz w:val="22"/>
          <w:szCs w:val="22"/>
        </w:rPr>
      </w:pPr>
    </w:p>
    <w:p w14:paraId="492C9780" w14:textId="77777777" w:rsidR="00B80819" w:rsidRPr="00B80819" w:rsidRDefault="00B80819" w:rsidP="00B80819">
      <w:pPr>
        <w:pStyle w:val="NormlWeb"/>
        <w:ind w:right="150"/>
        <w:contextualSpacing/>
        <w:jc w:val="center"/>
        <w:rPr>
          <w:b/>
          <w:sz w:val="56"/>
          <w:szCs w:val="22"/>
        </w:rPr>
      </w:pPr>
      <w:r w:rsidRPr="00B80819">
        <w:rPr>
          <w:b/>
          <w:sz w:val="56"/>
          <w:szCs w:val="22"/>
        </w:rPr>
        <w:t>10023002-00309653-00000000</w:t>
      </w:r>
    </w:p>
    <w:p w14:paraId="4EBCD746" w14:textId="77777777" w:rsidR="00B80819" w:rsidRPr="00B80819" w:rsidRDefault="00B80819" w:rsidP="00B80819">
      <w:pPr>
        <w:pStyle w:val="NormlWeb"/>
        <w:ind w:right="150"/>
        <w:contextualSpacing/>
        <w:jc w:val="both"/>
        <w:rPr>
          <w:sz w:val="22"/>
          <w:szCs w:val="22"/>
        </w:rPr>
      </w:pPr>
    </w:p>
    <w:p w14:paraId="3D9B8719" w14:textId="77777777" w:rsidR="00B80819" w:rsidRPr="00B80819" w:rsidRDefault="00B80819" w:rsidP="00B80819">
      <w:pPr>
        <w:pStyle w:val="NormlWeb"/>
        <w:ind w:right="150"/>
        <w:contextualSpacing/>
        <w:jc w:val="center"/>
        <w:rPr>
          <w:b/>
          <w:sz w:val="36"/>
          <w:szCs w:val="22"/>
        </w:rPr>
      </w:pPr>
      <w:r w:rsidRPr="00B80819">
        <w:rPr>
          <w:b/>
          <w:sz w:val="36"/>
          <w:szCs w:val="22"/>
        </w:rPr>
        <w:t>TOVÁBBI FONTOS VÁLTOZÁS</w:t>
      </w:r>
    </w:p>
    <w:p w14:paraId="129AAECA" w14:textId="77777777" w:rsidR="00B80819" w:rsidRPr="008F7780" w:rsidRDefault="00B80819" w:rsidP="00B80819">
      <w:pPr>
        <w:pStyle w:val="NormlWeb"/>
        <w:ind w:right="150"/>
        <w:contextualSpacing/>
        <w:jc w:val="center"/>
        <w:rPr>
          <w:b/>
          <w:sz w:val="28"/>
          <w:szCs w:val="18"/>
        </w:rPr>
      </w:pPr>
      <w:r w:rsidRPr="00B80819">
        <w:rPr>
          <w:b/>
          <w:sz w:val="36"/>
          <w:szCs w:val="22"/>
        </w:rPr>
        <w:t>BIZONYOS ESETEKBEN ILLETÉKMENTESSÉG</w:t>
      </w:r>
    </w:p>
    <w:p w14:paraId="617E7B43" w14:textId="77777777" w:rsidR="00B80819" w:rsidRDefault="00B80819" w:rsidP="00E8616B">
      <w:pPr>
        <w:jc w:val="both"/>
      </w:pPr>
    </w:p>
    <w:p w14:paraId="0CF7DF41" w14:textId="77777777" w:rsidR="00B80819" w:rsidRDefault="00B80819" w:rsidP="00E8616B">
      <w:pPr>
        <w:jc w:val="both"/>
      </w:pPr>
    </w:p>
    <w:p w14:paraId="56020ABE" w14:textId="77777777" w:rsidR="00B80819" w:rsidRDefault="00B80819" w:rsidP="00E8616B">
      <w:pPr>
        <w:jc w:val="both"/>
      </w:pPr>
    </w:p>
    <w:p w14:paraId="03D72A67" w14:textId="1C3C7285" w:rsidR="00B93051" w:rsidRPr="00B80819" w:rsidRDefault="00B93051" w:rsidP="00E8616B">
      <w:pPr>
        <w:jc w:val="both"/>
      </w:pPr>
      <w:r w:rsidRPr="00B80819">
        <w:t>A fizetés módját szintén jogszabály határozza meg.</w:t>
      </w:r>
      <w:r w:rsidR="000332B3" w:rsidRPr="00B80819">
        <w:t xml:space="preserve"> Kiemel</w:t>
      </w:r>
      <w:r w:rsidR="000A0202" w:rsidRPr="00B80819">
        <w:t>ve</w:t>
      </w:r>
      <w:r w:rsidR="000332B3" w:rsidRPr="00B80819">
        <w:t xml:space="preserve"> a fontosabb részeket.</w:t>
      </w:r>
    </w:p>
    <w:p w14:paraId="102C694C" w14:textId="77777777" w:rsidR="00B80819" w:rsidRPr="00B80819" w:rsidRDefault="00B80819" w:rsidP="00C66D04">
      <w:pPr>
        <w:pStyle w:val="NormlWeb"/>
        <w:spacing w:before="0" w:beforeAutospacing="0" w:after="0" w:afterAutospacing="0"/>
        <w:ind w:right="150"/>
      </w:pPr>
    </w:p>
    <w:p w14:paraId="556856BC" w14:textId="77777777" w:rsidR="00C66D04" w:rsidRPr="00B80819" w:rsidRDefault="00C66D04" w:rsidP="00C66D04">
      <w:pPr>
        <w:pStyle w:val="NormlWeb"/>
        <w:spacing w:before="0" w:beforeAutospacing="0" w:after="0" w:afterAutospacing="0"/>
        <w:ind w:right="150"/>
        <w:jc w:val="center"/>
        <w:rPr>
          <w:b/>
        </w:rPr>
      </w:pPr>
      <w:r w:rsidRPr="00B80819">
        <w:rPr>
          <w:b/>
        </w:rPr>
        <w:t>61/2016. (XII. 29.) NGM rendelet</w:t>
      </w:r>
    </w:p>
    <w:p w14:paraId="1ED43FA4" w14:textId="77777777" w:rsidR="00C66D04" w:rsidRPr="00B80819" w:rsidRDefault="00C66D04" w:rsidP="00C66D04">
      <w:pPr>
        <w:pStyle w:val="NormlWeb"/>
        <w:spacing w:before="0" w:beforeAutospacing="0" w:after="0" w:afterAutospacing="0"/>
        <w:ind w:right="150"/>
        <w:jc w:val="center"/>
        <w:rPr>
          <w:b/>
        </w:rPr>
      </w:pPr>
      <w:r w:rsidRPr="00B80819">
        <w:rPr>
          <w:b/>
        </w:rPr>
        <w:t>a műszaki biztonsági hatóság eljárásáért, valamint a hatáskörébe utalt építésügyi hatósági eljárásért</w:t>
      </w:r>
    </w:p>
    <w:p w14:paraId="4F9A4C25" w14:textId="77777777" w:rsidR="00C66D04" w:rsidRPr="00B80819" w:rsidRDefault="00C66D04" w:rsidP="00C66D04">
      <w:pPr>
        <w:autoSpaceDE w:val="0"/>
        <w:autoSpaceDN w:val="0"/>
        <w:adjustRightInd w:val="0"/>
        <w:jc w:val="center"/>
        <w:rPr>
          <w:b/>
        </w:rPr>
      </w:pPr>
      <w:r w:rsidRPr="00B80819">
        <w:rPr>
          <w:b/>
        </w:rPr>
        <w:t>fizetendő igazgatási szolgáltatási díjakról</w:t>
      </w:r>
    </w:p>
    <w:p w14:paraId="6D6811E9" w14:textId="77777777" w:rsidR="00C66D04" w:rsidRPr="00B80819" w:rsidRDefault="00C66D04" w:rsidP="006E7E95">
      <w:pPr>
        <w:pStyle w:val="NormlWeb"/>
        <w:ind w:right="150"/>
        <w:contextualSpacing/>
        <w:jc w:val="both"/>
      </w:pPr>
      <w:bookmarkStart w:id="0" w:name="pr3"/>
      <w:bookmarkStart w:id="1" w:name="1"/>
      <w:bookmarkStart w:id="2" w:name="pr4"/>
      <w:bookmarkEnd w:id="0"/>
      <w:bookmarkEnd w:id="1"/>
      <w:bookmarkEnd w:id="2"/>
      <w:r w:rsidRPr="00B80819">
        <w:t>A villamos energiáról szóló 2007. évi LXXXVI. törvény 170. § (3) bekezdés 4. pontjában, a termékek piacfelügyeletéről szóló 2012. évi LXXXVIII. törvény 30. § (1a) bekezdésében, továbbá a kereskedelemről szóló 2005. évi CLXIV. törvény 12. § (7) bekezdésében kapott felhatalmazás alapján, a Kormány tagjainak feladat- és hatásköréről szóló 152/2014. (VI. 6.) Korm. rendelet 90. § 1. és 9. pontjában meghatározott feladatkörömben eljárva a következőket rendelem el:</w:t>
      </w:r>
    </w:p>
    <w:p w14:paraId="4C841C1E" w14:textId="77777777" w:rsidR="009C3C67" w:rsidRPr="00B80819" w:rsidRDefault="00C66D04" w:rsidP="009C3C67">
      <w:pPr>
        <w:pStyle w:val="NormlWeb"/>
        <w:ind w:right="150"/>
        <w:contextualSpacing/>
        <w:jc w:val="both"/>
      </w:pPr>
      <w:r w:rsidRPr="00B80819">
        <w:t xml:space="preserve">1. § (1) A </w:t>
      </w:r>
      <w:r w:rsidRPr="00B80819">
        <w:rPr>
          <w:b/>
        </w:rPr>
        <w:t>műszaki biztonsági hatóság által lefolytatott műszaki biztonsági, valamint a hatáskörébe utalt építésügyi hatósági eljárásokért, beleértve a műszaki biztonsági hatóság szakhatósági közreműködését más hatóságok eljárásaiban</w:t>
      </w:r>
      <w:r w:rsidRPr="00B80819">
        <w:t xml:space="preserve">, a kérelmet előterjesztő ügyfélnek </w:t>
      </w:r>
      <w:r w:rsidRPr="00B80819">
        <w:rPr>
          <w:b/>
        </w:rPr>
        <w:t>igazgatási szolgáltatási díjat (a továbbiakban: díj) kell fizetnie Budapest Főváros Kormányhivatala (a továbbiakban: Kormányhivatal) mint a díj beszedésére jogosult részére</w:t>
      </w:r>
      <w:r w:rsidRPr="00B80819">
        <w:t>.</w:t>
      </w:r>
      <w:bookmarkStart w:id="3" w:name="pr5"/>
      <w:bookmarkEnd w:id="3"/>
    </w:p>
    <w:p w14:paraId="03378A23" w14:textId="77777777" w:rsidR="009C3C67" w:rsidRPr="00B80819" w:rsidRDefault="00404100" w:rsidP="009C3C67">
      <w:pPr>
        <w:pStyle w:val="NormlWeb"/>
        <w:ind w:right="150"/>
        <w:contextualSpacing/>
        <w:jc w:val="both"/>
      </w:pPr>
      <w:r w:rsidRPr="00B80819">
        <w:t>2. § (1) A díjfizetési kötelezettséget a (2) bekezdésben foglaltak szerint, a fizetési számlára történő készpénzfizetés (a továbbiakban: készpénzutalási megbízás</w:t>
      </w:r>
      <w:r w:rsidR="009C3C67" w:rsidRPr="00B80819">
        <w:t xml:space="preserve"> – </w:t>
      </w:r>
      <w:r w:rsidR="009C3C67" w:rsidRPr="00B80819">
        <w:rPr>
          <w:i/>
        </w:rPr>
        <w:t>sárga csekk</w:t>
      </w:r>
      <w:r w:rsidRPr="00B80819">
        <w:t xml:space="preserve">), vagy a fizetési számlák közötti átutalásra szóló megbízás (a továbbiakban: átutalási megbízás) útján a Kormányhivatal Magyar Államkincstárnál vezetett </w:t>
      </w:r>
      <w:r w:rsidRPr="00B80819">
        <w:rPr>
          <w:b/>
        </w:rPr>
        <w:t>10023002-00309653-00000000</w:t>
      </w:r>
      <w:r w:rsidRPr="00B80819">
        <w:t xml:space="preserve"> számú fizetési számlája javára kell teljesíteni. A belföldi postautalványon történő, fizetési számla nélküli készpénzátutalás</w:t>
      </w:r>
      <w:r w:rsidR="009C3C67" w:rsidRPr="00B80819">
        <w:t xml:space="preserve"> (rózsaszín csekk)</w:t>
      </w:r>
      <w:r w:rsidRPr="00B80819">
        <w:t xml:space="preserve"> az 1. § (1) bekezdése szerinti hatósági eljárások vonatkozásában díjfizetésre nem alkalmazható.</w:t>
      </w:r>
    </w:p>
    <w:p w14:paraId="04BB0F06" w14:textId="77777777" w:rsidR="009C3C67" w:rsidRPr="00B80819" w:rsidRDefault="00404100" w:rsidP="009C3C67">
      <w:pPr>
        <w:pStyle w:val="NormlWeb"/>
        <w:ind w:right="150"/>
        <w:contextualSpacing/>
        <w:jc w:val="both"/>
      </w:pPr>
      <w:r w:rsidRPr="00B80819">
        <w:t>(2) Ha az ügyfél a hatósági eljárás díját</w:t>
      </w:r>
    </w:p>
    <w:p w14:paraId="173C1667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>a) a hatósági eljárás megindítására irányuló kérelem benyújtása előtt, az átutalási megbízás, illetve a készpénzátutalási megbízás közlemény rovatában az 1. § (1) bekezdése szerinti hatósági eljárás megnevezésének feltüntetésével fizeti meg, úgy a kérelemben</w:t>
      </w:r>
    </w:p>
    <w:p w14:paraId="773420E2" w14:textId="77777777" w:rsidR="00404100" w:rsidRPr="00B80819" w:rsidRDefault="00404100" w:rsidP="009C3C67">
      <w:pPr>
        <w:pStyle w:val="NormlWeb"/>
        <w:ind w:right="150"/>
        <w:contextualSpacing/>
        <w:jc w:val="both"/>
      </w:pPr>
      <w:proofErr w:type="spellStart"/>
      <w:r w:rsidRPr="00B80819">
        <w:t>aa</w:t>
      </w:r>
      <w:proofErr w:type="spellEnd"/>
      <w:r w:rsidRPr="00B80819">
        <w:t xml:space="preserve">) a </w:t>
      </w:r>
      <w:r w:rsidRPr="00B80819">
        <w:rPr>
          <w:b/>
        </w:rPr>
        <w:t>készpénzátutalási megbízáson található azonosító számot, a befizetett díjat és a fizetési megbízás befogadásának időpontját</w:t>
      </w:r>
      <w:r w:rsidRPr="00B80819">
        <w:t>, vagy</w:t>
      </w:r>
    </w:p>
    <w:p w14:paraId="25DE66E4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 xml:space="preserve">ab) a </w:t>
      </w:r>
      <w:r w:rsidRPr="00B80819">
        <w:rPr>
          <w:b/>
        </w:rPr>
        <w:t>számlavezető pénzforgalmi szolgáltató nevét, az átutalási megbízással befizetett díj összegét és a fizetési megbízás befogadásának időpontját</w:t>
      </w:r>
      <w:r w:rsidRPr="00B80819">
        <w:t xml:space="preserve"> köteles közölni;</w:t>
      </w:r>
    </w:p>
    <w:p w14:paraId="601E0088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 xml:space="preserve">b) a hatósági eljárás megindítására irányuló kérelmének előterjesztése </w:t>
      </w:r>
      <w:r w:rsidRPr="00B80819">
        <w:rPr>
          <w:b/>
        </w:rPr>
        <w:t>előtt nem fizeti meg, az illetékes</w:t>
      </w:r>
      <w:r w:rsidR="009C3C67" w:rsidRPr="00B80819">
        <w:rPr>
          <w:b/>
        </w:rPr>
        <w:t xml:space="preserve"> </w:t>
      </w:r>
      <w:r w:rsidRPr="00B80819">
        <w:rPr>
          <w:b/>
        </w:rPr>
        <w:t>hatóság által kiállított díjbekérő alapján nyolc napon belül köteles a befizetést teljesíteni</w:t>
      </w:r>
      <w:r w:rsidRPr="00B80819">
        <w:t>, a készpénzátutalási</w:t>
      </w:r>
      <w:r w:rsidR="009C3C67" w:rsidRPr="00B80819">
        <w:t xml:space="preserve"> </w:t>
      </w:r>
      <w:r w:rsidRPr="00B80819">
        <w:t>megbízás, illetve az átutalási megbízás közlemény rovatában a hatóság ügyazonosító számának</w:t>
      </w:r>
      <w:r w:rsidR="009C3C67" w:rsidRPr="00B80819">
        <w:t xml:space="preserve"> </w:t>
      </w:r>
      <w:r w:rsidRPr="00B80819">
        <w:t>feltüntetésével.</w:t>
      </w:r>
    </w:p>
    <w:p w14:paraId="7A075B16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 xml:space="preserve">(3) </w:t>
      </w:r>
      <w:r w:rsidRPr="00B80819">
        <w:rPr>
          <w:b/>
        </w:rPr>
        <w:t xml:space="preserve">A számlát az adószám kiváltására kötelezettek számára a díjnak az (1) bekezdés szerinti fizetési számlán történő </w:t>
      </w:r>
      <w:r w:rsidRPr="00B80819">
        <w:rPr>
          <w:b/>
          <w:u w:val="single"/>
        </w:rPr>
        <w:t>jóváírását követően</w:t>
      </w:r>
      <w:r w:rsidRPr="00B80819">
        <w:rPr>
          <w:b/>
        </w:rPr>
        <w:t>, de legkésőbb az ügy érdemében hozott döntés meghozatalával egy időben kell kiállítani.</w:t>
      </w:r>
    </w:p>
    <w:p w14:paraId="073E5A99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 xml:space="preserve">(4) Ha az ügyfél </w:t>
      </w:r>
      <w:r w:rsidRPr="00B80819">
        <w:rPr>
          <w:b/>
        </w:rPr>
        <w:t>készpénzátutalási megbízással kívánja teljesíteni</w:t>
      </w:r>
      <w:r w:rsidRPr="00B80819">
        <w:t xml:space="preserve"> </w:t>
      </w:r>
      <w:r w:rsidR="0013180B" w:rsidRPr="00B80819">
        <w:t>(</w:t>
      </w:r>
      <w:r w:rsidR="0013180B" w:rsidRPr="00B80819">
        <w:rPr>
          <w:i/>
        </w:rPr>
        <w:t>sárga csekk</w:t>
      </w:r>
      <w:r w:rsidR="0013180B" w:rsidRPr="00B80819">
        <w:t xml:space="preserve">) </w:t>
      </w:r>
      <w:r w:rsidRPr="00B80819">
        <w:t xml:space="preserve">az igazgatási szolgáltatási díjat, az </w:t>
      </w:r>
      <w:r w:rsidRPr="00B80819">
        <w:rPr>
          <w:b/>
        </w:rPr>
        <w:t>ügyben eljáró hatóság az ügyfél részére számlát állít ki, melynek melléklete a készpénzátutalási megbízás</w:t>
      </w:r>
      <w:r w:rsidR="0013180B" w:rsidRPr="00B80819">
        <w:t xml:space="preserve"> (</w:t>
      </w:r>
      <w:r w:rsidR="0013180B" w:rsidRPr="00B80819">
        <w:rPr>
          <w:i/>
        </w:rPr>
        <w:t>sárga csekk</w:t>
      </w:r>
      <w:r w:rsidR="0013180B" w:rsidRPr="00B80819">
        <w:t>)</w:t>
      </w:r>
      <w:r w:rsidRPr="00B80819">
        <w:t>.</w:t>
      </w:r>
    </w:p>
    <w:p w14:paraId="7E265FF1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>(5) Ha a befizetést igazoló okiratok alapján megállapítható, hogy az ügyfél tévesen vagy az e rendeletben</w:t>
      </w:r>
      <w:r w:rsidR="009C3C67" w:rsidRPr="00B80819">
        <w:t xml:space="preserve"> </w:t>
      </w:r>
      <w:r w:rsidRPr="00B80819">
        <w:t>meghatározott mértéket meghaladóan fizetett díjat, a Kormányhivatal a téves befizetés, illetve a díjtöbblet</w:t>
      </w:r>
      <w:r w:rsidR="009C3C67" w:rsidRPr="00B80819">
        <w:t xml:space="preserve"> </w:t>
      </w:r>
      <w:r w:rsidRPr="00B80819">
        <w:t>visszatérítéséről az ügyfél számlavezető pénzforgalmi szolgáltatónál vezetett fizetési számlája javára, legkésőbb</w:t>
      </w:r>
      <w:r w:rsidR="009C3C67" w:rsidRPr="00B80819">
        <w:t xml:space="preserve"> </w:t>
      </w:r>
      <w:r w:rsidRPr="00B80819">
        <w:t>az önálló fellebbezéssel támadható döntést követő nyolc napon belül, átutalási megbízás útján intézkedik.</w:t>
      </w:r>
    </w:p>
    <w:p w14:paraId="213BA1E1" w14:textId="77777777" w:rsidR="00404100" w:rsidRPr="00B80819" w:rsidRDefault="00404100" w:rsidP="009C3C67">
      <w:pPr>
        <w:pStyle w:val="NormlWeb"/>
        <w:ind w:right="150"/>
        <w:contextualSpacing/>
        <w:jc w:val="both"/>
      </w:pPr>
      <w:r w:rsidRPr="00B80819">
        <w:t>(6) Ha a Kormányhivatal a közigazgatási hatósági eljárás és szolgáltatás általános szabályairól szóló 2004. évi</w:t>
      </w:r>
      <w:r w:rsidR="009C3C67" w:rsidRPr="00B80819">
        <w:t xml:space="preserve"> </w:t>
      </w:r>
      <w:r w:rsidRPr="00B80819">
        <w:t>CXL. törvény 33/A. §-a szerinti díjvisszafizetést köteles teljesíteni, úgy a visszafizetésről az ügyfél számlavezető</w:t>
      </w:r>
      <w:r w:rsidR="009C3C67" w:rsidRPr="00B80819">
        <w:t xml:space="preserve"> </w:t>
      </w:r>
      <w:r w:rsidRPr="00B80819">
        <w:t>pénzforgalmi szolgáltatónál vezetett fizetési számlája javára, átutalási megbízás útján intézkedik.</w:t>
      </w:r>
    </w:p>
    <w:p w14:paraId="07BDFC00" w14:textId="77777777" w:rsidR="00273A05" w:rsidRPr="00B80819" w:rsidRDefault="00404100" w:rsidP="009C3C67">
      <w:pPr>
        <w:pStyle w:val="NormlWeb"/>
        <w:ind w:right="150"/>
        <w:contextualSpacing/>
        <w:jc w:val="both"/>
      </w:pPr>
      <w:r w:rsidRPr="00B80819">
        <w:t>(7) Ha jogszabály a hatósági eljárás elektronikus úton történő kezdeményezését nem zárja ki, a díjat az eljárás</w:t>
      </w:r>
      <w:r w:rsidR="009C3C67" w:rsidRPr="00B80819">
        <w:t xml:space="preserve"> </w:t>
      </w:r>
      <w:r w:rsidRPr="00B80819">
        <w:t>kezdeményezését követően, átutalási megbízás útján kell megfizetni. Az ügyfélnek az átutalási megbízás</w:t>
      </w:r>
      <w:r w:rsidR="009C3C67" w:rsidRPr="00B80819">
        <w:t xml:space="preserve"> </w:t>
      </w:r>
      <w:r w:rsidRPr="00B80819">
        <w:t>„Közlemény” rovatában fel kell tüntetnie a központi elektronikus szolgáltató rendszer által adott 27 jegyű</w:t>
      </w:r>
      <w:r w:rsidR="009C3C67" w:rsidRPr="00B80819">
        <w:t xml:space="preserve"> </w:t>
      </w:r>
      <w:r w:rsidRPr="00B80819">
        <w:t>érkeztető számot. Ez esetben a díjat legkésőbb – a (2) bekezdés b) pontja szerinti – díjbekérőben foglaltak ügyfél</w:t>
      </w:r>
      <w:r w:rsidR="009C3C67" w:rsidRPr="00B80819">
        <w:t xml:space="preserve"> </w:t>
      </w:r>
      <w:r w:rsidRPr="00B80819">
        <w:t>általi megismerését követő három napon kell megfizetnie. Az elektronikus közszolgáltatás igénybevételével</w:t>
      </w:r>
      <w:r w:rsidR="009C3C67" w:rsidRPr="00B80819">
        <w:t xml:space="preserve"> </w:t>
      </w:r>
      <w:r w:rsidRPr="00B80819">
        <w:t>kezdeményezett eljárással kapcsolatos fizetési kötelezettségek teljesítésére egyebekben az elektronikus</w:t>
      </w:r>
      <w:r w:rsidR="009C3C67" w:rsidRPr="00B80819">
        <w:t xml:space="preserve"> </w:t>
      </w:r>
      <w:r w:rsidRPr="00B80819">
        <w:t>közszolgáltatásról és annak igénybevételéről szóló kormányrendeletben foglalt rendelkezéseket kell alkalmazni.</w:t>
      </w:r>
    </w:p>
    <w:p w14:paraId="748B5338" w14:textId="12D039B1" w:rsidR="00B80819" w:rsidRDefault="00B8081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941EDCD" w14:textId="77777777" w:rsidR="008F7780" w:rsidRPr="00B80819" w:rsidRDefault="008F7780" w:rsidP="008F7780">
      <w:pPr>
        <w:pStyle w:val="NormlWeb"/>
        <w:ind w:right="150"/>
        <w:contextualSpacing/>
        <w:jc w:val="both"/>
        <w:rPr>
          <w:sz w:val="22"/>
          <w:szCs w:val="22"/>
        </w:rPr>
      </w:pPr>
    </w:p>
    <w:p w14:paraId="20048E8C" w14:textId="77777777" w:rsidR="008F7780" w:rsidRPr="00B80819" w:rsidRDefault="008F7780" w:rsidP="008F7780">
      <w:pPr>
        <w:pStyle w:val="NormlWeb"/>
        <w:ind w:right="150"/>
        <w:contextualSpacing/>
        <w:jc w:val="center"/>
        <w:rPr>
          <w:b/>
          <w:sz w:val="36"/>
          <w:szCs w:val="22"/>
        </w:rPr>
      </w:pPr>
      <w:r w:rsidRPr="00B80819">
        <w:rPr>
          <w:b/>
          <w:sz w:val="36"/>
          <w:szCs w:val="22"/>
        </w:rPr>
        <w:t>TOVÁBBI FONTOS VÁLTOZÁS</w:t>
      </w:r>
    </w:p>
    <w:p w14:paraId="69DD466E" w14:textId="77777777" w:rsidR="008F7780" w:rsidRPr="00B80819" w:rsidRDefault="008F7780" w:rsidP="008F7780">
      <w:pPr>
        <w:pStyle w:val="NormlWeb"/>
        <w:ind w:right="150"/>
        <w:contextualSpacing/>
        <w:jc w:val="center"/>
        <w:rPr>
          <w:b/>
          <w:sz w:val="36"/>
          <w:szCs w:val="22"/>
        </w:rPr>
      </w:pPr>
      <w:r w:rsidRPr="00B80819">
        <w:rPr>
          <w:b/>
          <w:sz w:val="36"/>
          <w:szCs w:val="22"/>
        </w:rPr>
        <w:t>BIZONYOS ESETEKBEN ILLETÉKMENTESSÉG</w:t>
      </w:r>
    </w:p>
    <w:p w14:paraId="68E3E54A" w14:textId="77777777" w:rsidR="008F7780" w:rsidRDefault="008F7780" w:rsidP="008F7780">
      <w:pPr>
        <w:pStyle w:val="NormlWeb"/>
        <w:ind w:right="150"/>
        <w:contextualSpacing/>
        <w:jc w:val="both"/>
        <w:rPr>
          <w:sz w:val="18"/>
          <w:szCs w:val="18"/>
        </w:rPr>
      </w:pPr>
    </w:p>
    <w:p w14:paraId="09E04757" w14:textId="77777777" w:rsidR="008F7780" w:rsidRPr="008F7780" w:rsidRDefault="008F7780" w:rsidP="008F7780">
      <w:pPr>
        <w:pStyle w:val="NormlWeb"/>
        <w:ind w:right="150"/>
        <w:contextualSpacing/>
        <w:jc w:val="center"/>
        <w:rPr>
          <w:b/>
        </w:rPr>
      </w:pPr>
      <w:r w:rsidRPr="008F7780">
        <w:rPr>
          <w:b/>
        </w:rPr>
        <w:t>3. § (1) Az e rendeletben meghatározott díj tekintetében</w:t>
      </w:r>
    </w:p>
    <w:p w14:paraId="7C1D86F4" w14:textId="77777777" w:rsidR="008F7780" w:rsidRPr="008F7780" w:rsidRDefault="008F7780" w:rsidP="008F7780">
      <w:pPr>
        <w:pStyle w:val="NormlWeb"/>
        <w:ind w:right="150"/>
        <w:contextualSpacing/>
        <w:jc w:val="center"/>
        <w:rPr>
          <w:b/>
        </w:rPr>
      </w:pPr>
      <w:r w:rsidRPr="008F7780">
        <w:rPr>
          <w:b/>
        </w:rPr>
        <w:t xml:space="preserve">a) a díjmentességre az illetékekről szóló 1990. évi XCIII. törvény (a továbbiakban: </w:t>
      </w:r>
      <w:proofErr w:type="spellStart"/>
      <w:r w:rsidRPr="008F7780">
        <w:rPr>
          <w:b/>
        </w:rPr>
        <w:t>Itv</w:t>
      </w:r>
      <w:proofErr w:type="spellEnd"/>
      <w:r w:rsidRPr="008F7780">
        <w:rPr>
          <w:b/>
        </w:rPr>
        <w:t>.) 5. és 6. §-</w:t>
      </w:r>
      <w:proofErr w:type="spellStart"/>
      <w:r w:rsidRPr="008F7780">
        <w:rPr>
          <w:b/>
        </w:rPr>
        <w:t>ában</w:t>
      </w:r>
      <w:proofErr w:type="spellEnd"/>
      <w:r w:rsidRPr="008F7780">
        <w:rPr>
          <w:b/>
        </w:rPr>
        <w:t xml:space="preserve">… foglaltakat kell alkalmazni azzal az eltéréssel, hogy ahol az </w:t>
      </w:r>
      <w:proofErr w:type="spellStart"/>
      <w:r w:rsidRPr="008F7780">
        <w:rPr>
          <w:b/>
        </w:rPr>
        <w:t>Itv</w:t>
      </w:r>
      <w:proofErr w:type="spellEnd"/>
      <w:r w:rsidRPr="008F7780">
        <w:rPr>
          <w:b/>
        </w:rPr>
        <w:t>. illetéket említ, azon díjat kell érteni.</w:t>
      </w:r>
    </w:p>
    <w:p w14:paraId="13CF413E" w14:textId="77777777" w:rsidR="008F7780" w:rsidRDefault="008F7780" w:rsidP="008F7780">
      <w:pPr>
        <w:pStyle w:val="NormlWeb"/>
        <w:ind w:right="150"/>
        <w:contextualSpacing/>
        <w:jc w:val="both"/>
        <w:rPr>
          <w:sz w:val="18"/>
          <w:szCs w:val="18"/>
        </w:rPr>
      </w:pPr>
    </w:p>
    <w:p w14:paraId="1106B215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8C499F">
        <w:rPr>
          <w:sz w:val="22"/>
          <w:szCs w:val="22"/>
        </w:rPr>
        <w:t>5. § (1) Teljes személyes illetékmentességben részesül:</w:t>
      </w:r>
    </w:p>
    <w:p w14:paraId="48EA78D7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660028">
        <w:rPr>
          <w:b/>
          <w:sz w:val="22"/>
          <w:szCs w:val="22"/>
        </w:rPr>
        <w:t>a) a Magyar</w:t>
      </w:r>
      <w:r w:rsidRPr="00EE2E2A">
        <w:rPr>
          <w:b/>
          <w:sz w:val="22"/>
          <w:szCs w:val="22"/>
        </w:rPr>
        <w:t xml:space="preserve"> Állam</w:t>
      </w:r>
      <w:r w:rsidRPr="008C499F">
        <w:rPr>
          <w:sz w:val="22"/>
          <w:szCs w:val="22"/>
        </w:rPr>
        <w:t>,</w:t>
      </w:r>
    </w:p>
    <w:p w14:paraId="662AA632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660028">
        <w:rPr>
          <w:b/>
          <w:sz w:val="22"/>
          <w:szCs w:val="22"/>
        </w:rPr>
        <w:t>b) a helyi</w:t>
      </w:r>
      <w:r w:rsidRPr="00EE2E2A">
        <w:rPr>
          <w:b/>
          <w:sz w:val="22"/>
          <w:szCs w:val="22"/>
        </w:rPr>
        <w:t xml:space="preserve"> önkormányzatok és azok társulásai</w:t>
      </w:r>
      <w:r w:rsidRPr="008C499F">
        <w:rPr>
          <w:sz w:val="22"/>
          <w:szCs w:val="22"/>
        </w:rPr>
        <w:t>,</w:t>
      </w:r>
    </w:p>
    <w:p w14:paraId="0D36C10E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A37BF5">
        <w:rPr>
          <w:b/>
          <w:color w:val="FF0000"/>
          <w:sz w:val="22"/>
          <w:szCs w:val="22"/>
        </w:rPr>
        <w:t>c) a költségvetési szerv, a Magyar Nemzeti Vagyonkezelő Zrt., valamint a Tartalékgazdálkodási Kht., illetve annak tevékenységét folytató nonprofit gazdasági társaság</w:t>
      </w:r>
      <w:r w:rsidRPr="008C499F">
        <w:rPr>
          <w:sz w:val="22"/>
          <w:szCs w:val="22"/>
        </w:rPr>
        <w:t>,</w:t>
      </w:r>
    </w:p>
    <w:p w14:paraId="0898F75A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A37BF5">
        <w:rPr>
          <w:b/>
          <w:color w:val="FF0000"/>
          <w:sz w:val="22"/>
          <w:szCs w:val="22"/>
        </w:rPr>
        <w:t>d) az egyesület, a köztestület</w:t>
      </w:r>
      <w:r w:rsidRPr="008C499F">
        <w:rPr>
          <w:sz w:val="22"/>
          <w:szCs w:val="22"/>
        </w:rPr>
        <w:t>,</w:t>
      </w:r>
    </w:p>
    <w:p w14:paraId="6F55F330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A37BF5">
        <w:rPr>
          <w:b/>
          <w:color w:val="FF0000"/>
          <w:sz w:val="22"/>
          <w:szCs w:val="22"/>
        </w:rPr>
        <w:t>e) az egyházi jogi személy</w:t>
      </w:r>
      <w:r w:rsidRPr="008C499F">
        <w:rPr>
          <w:sz w:val="22"/>
          <w:szCs w:val="22"/>
        </w:rPr>
        <w:t>,</w:t>
      </w:r>
    </w:p>
    <w:p w14:paraId="4F5F5AD1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A37BF5">
        <w:rPr>
          <w:b/>
          <w:color w:val="FF0000"/>
          <w:sz w:val="22"/>
          <w:szCs w:val="22"/>
        </w:rPr>
        <w:t>f) az alapítvány, ideértve a közalapítványt is</w:t>
      </w:r>
      <w:r w:rsidRPr="008C499F">
        <w:rPr>
          <w:sz w:val="22"/>
          <w:szCs w:val="22"/>
        </w:rPr>
        <w:t>,</w:t>
      </w:r>
    </w:p>
    <w:p w14:paraId="182BF0CD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A37BF5">
        <w:rPr>
          <w:b/>
          <w:color w:val="FF0000"/>
          <w:sz w:val="22"/>
          <w:szCs w:val="22"/>
        </w:rPr>
        <w:t>g) a vízgazdálkodási társulat</w:t>
      </w:r>
      <w:r w:rsidRPr="008C499F">
        <w:rPr>
          <w:sz w:val="22"/>
          <w:szCs w:val="22"/>
        </w:rPr>
        <w:t>,</w:t>
      </w:r>
    </w:p>
    <w:p w14:paraId="68C19906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h) az egészségbiztosítási szerv, a központi nyugdíjbiztosítási szerv,</w:t>
      </w:r>
    </w:p>
    <w:p w14:paraId="66186FFE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i) a Magyar Nemzeti Bank,</w:t>
      </w:r>
    </w:p>
    <w:p w14:paraId="528D43EE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j) a Magyar Rádió Nonprofit Zrt., a Magyar Televízió Nonprofit Zrt., a Duna Televízió Nonprofit Zrt., a Magyar Távirati Iroda Nonprofit Zrt., és a Médiaszolgáltatás-támogató és Vagyonkezelő Alap,</w:t>
      </w:r>
    </w:p>
    <w:p w14:paraId="1073E771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k) az Észak-atlanti Szerződés Szervezete, az Észak-atlanti Szerződés tagállamainak és a Békepartnerség más részt vevő államainak Magyarországon tartózkodó fegyveres erői, valamint az Észak-atlanti Szerződés alapján felállított nemzetközi katonai parancsnokságok, és e fegyveres erők és parancsnokságok személyi állományába tartozó vagy alkalmazásában álló nem magyar állampolgárságú, katonai szolgálatban lévő és polgári állományú személyek, kizárólag a szolgálati kötelezettségükkel összefüggő illetékügyek tekintetében,</w:t>
      </w:r>
    </w:p>
    <w:p w14:paraId="498295B2" w14:textId="77777777" w:rsidR="00947A78" w:rsidRPr="008C499F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331A56">
        <w:rPr>
          <w:b/>
          <w:sz w:val="22"/>
          <w:szCs w:val="22"/>
        </w:rPr>
        <w:t>l) a területfejlesztésről és területrendezésről szóló 1996. évi XXI. törvény hatálya alá tartozó fejlesztési tanác</w:t>
      </w:r>
      <w:r w:rsidRPr="008C499F">
        <w:rPr>
          <w:sz w:val="22"/>
          <w:szCs w:val="22"/>
        </w:rPr>
        <w:t>s,</w:t>
      </w:r>
    </w:p>
    <w:p w14:paraId="31B5979F" w14:textId="77777777" w:rsidR="00947A78" w:rsidRPr="00A37BF5" w:rsidRDefault="00947A78" w:rsidP="00947A78">
      <w:pPr>
        <w:pStyle w:val="NormlWeb"/>
        <w:ind w:right="150"/>
        <w:contextualSpacing/>
        <w:jc w:val="both"/>
        <w:rPr>
          <w:b/>
          <w:color w:val="FF0000"/>
          <w:sz w:val="22"/>
          <w:szCs w:val="22"/>
        </w:rPr>
      </w:pPr>
      <w:r w:rsidRPr="00EE2E2A">
        <w:rPr>
          <w:b/>
          <w:color w:val="FF0000"/>
          <w:sz w:val="22"/>
          <w:szCs w:val="22"/>
        </w:rPr>
        <w:t>m)</w:t>
      </w:r>
      <w:r w:rsidRPr="00A37BF5">
        <w:rPr>
          <w:b/>
          <w:color w:val="FF0000"/>
          <w:sz w:val="22"/>
          <w:szCs w:val="22"/>
        </w:rPr>
        <w:t xml:space="preserve"> a közhasznú, kiemelkedően közhasznú nonprofit gazdasági társaság, a közhasznú szociális szövetkezet,</w:t>
      </w:r>
    </w:p>
    <w:p w14:paraId="1E866CF4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n) az Európai Közösségek, valamint azok intézményei és szervei, hivatalai, elkülönült alapjai,</w:t>
      </w:r>
    </w:p>
    <w:p w14:paraId="260E9D57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o) Nemzeti Eszközkezelő Zrt.,</w:t>
      </w:r>
    </w:p>
    <w:p w14:paraId="19B6DE23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p) a nemzeti köznevelésről szóló törvény szerinti intézményi tanács,</w:t>
      </w:r>
    </w:p>
    <w:p w14:paraId="17749BCA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q) az Országos Betétbiztosítási Alap,</w:t>
      </w:r>
    </w:p>
    <w:p w14:paraId="6F895B43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r) a pénzügyi közvetítőrendszer egyes szereplőinek biztonságát erősítő intézményrendszer továbbfejlesztéséről szóló 2014. évi XXXVII. törvényben meghatározott Szanálási Alap és a Magyar Állam vagy a Szanálási Alap által létrehozott, az alapító, alapítók kizárólagos tulajdonában álló szanálási vagyonkezelő,</w:t>
      </w:r>
    </w:p>
    <w:p w14:paraId="037F131A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s) a tőkepiacról szóló 2001. évi CXX. törvény szerinti Befektető-védelmi Alap,</w:t>
      </w:r>
    </w:p>
    <w:p w14:paraId="3D0C865E" w14:textId="77777777" w:rsidR="00947A78" w:rsidRPr="00331A56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331A56">
        <w:rPr>
          <w:b/>
          <w:sz w:val="22"/>
          <w:szCs w:val="22"/>
        </w:rPr>
        <w:t>t) a tőkepiac stabilitásának erősítése érdekében tett egyes kárrendezési intézkedésekről szóló 2015. évi CCXIV. törvény szerinti Kárrendezési Alap.</w:t>
      </w:r>
    </w:p>
    <w:p w14:paraId="248B8749" w14:textId="77777777" w:rsidR="00947A78" w:rsidRPr="0020679C" w:rsidRDefault="00947A78" w:rsidP="00947A78">
      <w:pPr>
        <w:pStyle w:val="NormlWeb"/>
        <w:ind w:right="150"/>
        <w:contextualSpacing/>
        <w:jc w:val="both"/>
        <w:rPr>
          <w:b/>
          <w:sz w:val="22"/>
          <w:szCs w:val="22"/>
        </w:rPr>
      </w:pPr>
      <w:r w:rsidRPr="0020679C">
        <w:rPr>
          <w:b/>
          <w:color w:val="FF0000"/>
          <w:sz w:val="22"/>
          <w:szCs w:val="22"/>
        </w:rPr>
        <w:t xml:space="preserve">(2) Az (1) bekezdés </w:t>
      </w:r>
      <w:proofErr w:type="gramStart"/>
      <w:r w:rsidRPr="0020679C">
        <w:rPr>
          <w:b/>
          <w:color w:val="FF0000"/>
          <w:sz w:val="22"/>
          <w:szCs w:val="22"/>
        </w:rPr>
        <w:t>c)-</w:t>
      </w:r>
      <w:proofErr w:type="gramEnd"/>
      <w:r w:rsidRPr="0020679C">
        <w:rPr>
          <w:b/>
          <w:color w:val="FF0000"/>
          <w:sz w:val="22"/>
          <w:szCs w:val="22"/>
        </w:rPr>
        <w:t>g) és m) pontokban említett szervezetet az illetékmentesség csak abban az esetben illeti meg, ha a vagyonszerzést, illetőleg az eljárás megindítását megelőző adóévben folytatott vállalkozási tevékenységéből származó jövedelme után társasági adófizetési kötelezettsége, illetve - költségvetési szerv esetében - eredménye után a központi költségvetésbe befizetési kötelezettsége nem keletkezett.</w:t>
      </w:r>
    </w:p>
    <w:p w14:paraId="17D1CBC5" w14:textId="77777777" w:rsidR="00947A78" w:rsidRPr="0020679C" w:rsidRDefault="00947A78" w:rsidP="00947A78">
      <w:pPr>
        <w:pStyle w:val="NormlWeb"/>
        <w:ind w:right="150"/>
        <w:contextualSpacing/>
        <w:jc w:val="both"/>
        <w:rPr>
          <w:b/>
          <w:color w:val="FF0000"/>
          <w:sz w:val="22"/>
          <w:szCs w:val="22"/>
        </w:rPr>
      </w:pPr>
      <w:r w:rsidRPr="0020679C">
        <w:rPr>
          <w:b/>
          <w:color w:val="FF0000"/>
          <w:sz w:val="22"/>
          <w:szCs w:val="22"/>
        </w:rPr>
        <w:t>(3) A szervezet (alapítvány) közigazgatási hatósági vagy bírósági eljárás kezdeményezése, illetve gépjármű, pótkocsi szerzése esetén nyilatkozik az illetékmentesség (2) bekezdésben meghatározott feltételének fennállásáról, egyéb vagyonszerzés esetén a feltétel teljesülését az állami adóhatóság hivatalból ellenőrzi.</w:t>
      </w:r>
    </w:p>
    <w:p w14:paraId="66830CA5" w14:textId="77777777" w:rsidR="00947A78" w:rsidRPr="0020679C" w:rsidRDefault="00947A78" w:rsidP="00947A78">
      <w:pPr>
        <w:pStyle w:val="NormlWeb"/>
        <w:ind w:right="150"/>
        <w:contextualSpacing/>
        <w:jc w:val="both"/>
        <w:rPr>
          <w:b/>
          <w:color w:val="FF0000"/>
          <w:sz w:val="22"/>
          <w:szCs w:val="22"/>
        </w:rPr>
      </w:pPr>
      <w:r w:rsidRPr="0020679C">
        <w:rPr>
          <w:b/>
          <w:color w:val="FF0000"/>
          <w:sz w:val="22"/>
          <w:szCs w:val="22"/>
        </w:rPr>
        <w:t xml:space="preserve">(4) Ha a (3) bekezdés szerinti nyilatkozat megtételére a (2) bekezdés szerinti </w:t>
      </w:r>
      <w:proofErr w:type="spellStart"/>
      <w:r w:rsidRPr="0020679C">
        <w:rPr>
          <w:b/>
          <w:color w:val="FF0000"/>
          <w:sz w:val="22"/>
          <w:szCs w:val="22"/>
        </w:rPr>
        <w:t>adóév</w:t>
      </w:r>
      <w:proofErr w:type="spellEnd"/>
      <w:r w:rsidRPr="0020679C">
        <w:rPr>
          <w:b/>
          <w:color w:val="FF0000"/>
          <w:sz w:val="22"/>
          <w:szCs w:val="22"/>
        </w:rPr>
        <w:t xml:space="preserve"> utolsó napját követő 150. nap előtt kerül sor, a szervezetnek (alapítványnak) arról kell nyilatkoznia, hogy adófizetési kötelezettsége előreláthatóan nem keletkezik. Amennyiben a nyilatkozatában vállaltak nem teljesültek, úgy a (2) bekezdés szerinti </w:t>
      </w:r>
      <w:proofErr w:type="spellStart"/>
      <w:r w:rsidRPr="0020679C">
        <w:rPr>
          <w:b/>
          <w:color w:val="FF0000"/>
          <w:sz w:val="22"/>
          <w:szCs w:val="22"/>
        </w:rPr>
        <w:t>adóév</w:t>
      </w:r>
      <w:proofErr w:type="spellEnd"/>
      <w:r w:rsidRPr="0020679C">
        <w:rPr>
          <w:b/>
          <w:color w:val="FF0000"/>
          <w:sz w:val="22"/>
          <w:szCs w:val="22"/>
        </w:rPr>
        <w:t xml:space="preserve"> utolsó napját követő 180. napig van lehetősége arra, hogy ezt a körülményt adóbírság terhe nélkül az eljáró hatóság felé jelezze és az illetéket pótlólag megfizesse.</w:t>
      </w:r>
    </w:p>
    <w:p w14:paraId="4C890C1A" w14:textId="77777777" w:rsidR="008F7780" w:rsidRDefault="00947A78" w:rsidP="00947A78">
      <w:pPr>
        <w:pStyle w:val="NormlWeb"/>
        <w:ind w:right="150"/>
        <w:contextualSpacing/>
        <w:jc w:val="both"/>
        <w:rPr>
          <w:sz w:val="22"/>
          <w:szCs w:val="22"/>
        </w:rPr>
      </w:pPr>
      <w:r w:rsidRPr="008C499F">
        <w:rPr>
          <w:sz w:val="22"/>
          <w:szCs w:val="22"/>
        </w:rPr>
        <w:t>6. § (1) Nemzetközi szervezet, ennek tisztségviselői és családtagjaik, idegen állam, idegen állam magyarországi diplomáciai, konzuli és egyéb képviselete, ezek tagjai és családtagjaik illetékmentességére nézve nemzetközi szerződés, ennek hiányában a viszonosság az irányadó. A viszonosságon alapuló illetékmentesség természetes személyek esetén kizárólag a szolgálati kötelezettséggel összefüggő illetékügyek tekintetében alkalmazható.</w:t>
      </w:r>
    </w:p>
    <w:p w14:paraId="40A22C71" w14:textId="77777777" w:rsidR="00A765D1" w:rsidRDefault="00A765D1" w:rsidP="00947A78">
      <w:pPr>
        <w:pStyle w:val="NormlWeb"/>
        <w:ind w:right="150"/>
        <w:contextualSpacing/>
        <w:jc w:val="both"/>
        <w:rPr>
          <w:sz w:val="22"/>
          <w:szCs w:val="22"/>
        </w:rPr>
      </w:pPr>
    </w:p>
    <w:sectPr w:rsidR="00A765D1" w:rsidSect="00453A38">
      <w:pgSz w:w="11906" w:h="16838"/>
      <w:pgMar w:top="568" w:right="566" w:bottom="142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6B"/>
    <w:rsid w:val="00002429"/>
    <w:rsid w:val="000332B3"/>
    <w:rsid w:val="000A0202"/>
    <w:rsid w:val="000A3EC0"/>
    <w:rsid w:val="000B0077"/>
    <w:rsid w:val="000B3F9B"/>
    <w:rsid w:val="000D1805"/>
    <w:rsid w:val="001104FC"/>
    <w:rsid w:val="0012488E"/>
    <w:rsid w:val="0013180B"/>
    <w:rsid w:val="00156C70"/>
    <w:rsid w:val="001916ED"/>
    <w:rsid w:val="001D0DED"/>
    <w:rsid w:val="001E3ED9"/>
    <w:rsid w:val="00202B58"/>
    <w:rsid w:val="0020679C"/>
    <w:rsid w:val="00267185"/>
    <w:rsid w:val="00273A05"/>
    <w:rsid w:val="002D7222"/>
    <w:rsid w:val="00302522"/>
    <w:rsid w:val="003059D3"/>
    <w:rsid w:val="00331A56"/>
    <w:rsid w:val="00383315"/>
    <w:rsid w:val="003850C7"/>
    <w:rsid w:val="00391A81"/>
    <w:rsid w:val="00391D29"/>
    <w:rsid w:val="003A222A"/>
    <w:rsid w:val="003E08D4"/>
    <w:rsid w:val="003E4CB6"/>
    <w:rsid w:val="003F23E9"/>
    <w:rsid w:val="003F67AA"/>
    <w:rsid w:val="00404100"/>
    <w:rsid w:val="00421BD3"/>
    <w:rsid w:val="00430192"/>
    <w:rsid w:val="0043466F"/>
    <w:rsid w:val="00440E0E"/>
    <w:rsid w:val="004474D8"/>
    <w:rsid w:val="00453A38"/>
    <w:rsid w:val="0048750E"/>
    <w:rsid w:val="004F2A81"/>
    <w:rsid w:val="00505386"/>
    <w:rsid w:val="00556600"/>
    <w:rsid w:val="0056326F"/>
    <w:rsid w:val="005E587B"/>
    <w:rsid w:val="005F662B"/>
    <w:rsid w:val="0061549B"/>
    <w:rsid w:val="00660028"/>
    <w:rsid w:val="00691E2C"/>
    <w:rsid w:val="006B54DB"/>
    <w:rsid w:val="006C4122"/>
    <w:rsid w:val="006D6D89"/>
    <w:rsid w:val="006D7352"/>
    <w:rsid w:val="006E7E95"/>
    <w:rsid w:val="00707609"/>
    <w:rsid w:val="00721D24"/>
    <w:rsid w:val="00770F8C"/>
    <w:rsid w:val="00771E33"/>
    <w:rsid w:val="00772E4E"/>
    <w:rsid w:val="00787CCE"/>
    <w:rsid w:val="007A384D"/>
    <w:rsid w:val="007C204F"/>
    <w:rsid w:val="008563DB"/>
    <w:rsid w:val="008C499F"/>
    <w:rsid w:val="008E3E25"/>
    <w:rsid w:val="008F51F3"/>
    <w:rsid w:val="008F7780"/>
    <w:rsid w:val="00947A78"/>
    <w:rsid w:val="00962E73"/>
    <w:rsid w:val="009C3903"/>
    <w:rsid w:val="009C3C67"/>
    <w:rsid w:val="00A10B3F"/>
    <w:rsid w:val="00A37BF5"/>
    <w:rsid w:val="00A42163"/>
    <w:rsid w:val="00A442A5"/>
    <w:rsid w:val="00A765D1"/>
    <w:rsid w:val="00AA671F"/>
    <w:rsid w:val="00AD4938"/>
    <w:rsid w:val="00AE2252"/>
    <w:rsid w:val="00B036CF"/>
    <w:rsid w:val="00B12CE8"/>
    <w:rsid w:val="00B217A7"/>
    <w:rsid w:val="00B233D3"/>
    <w:rsid w:val="00B36DA3"/>
    <w:rsid w:val="00B75769"/>
    <w:rsid w:val="00B80819"/>
    <w:rsid w:val="00B808EA"/>
    <w:rsid w:val="00B93051"/>
    <w:rsid w:val="00BA6C7F"/>
    <w:rsid w:val="00C14519"/>
    <w:rsid w:val="00C401D0"/>
    <w:rsid w:val="00C6230B"/>
    <w:rsid w:val="00C66D04"/>
    <w:rsid w:val="00D04F48"/>
    <w:rsid w:val="00D30DE1"/>
    <w:rsid w:val="00DC3374"/>
    <w:rsid w:val="00DD42D8"/>
    <w:rsid w:val="00DF09CD"/>
    <w:rsid w:val="00DF5A75"/>
    <w:rsid w:val="00E036EA"/>
    <w:rsid w:val="00E24C9B"/>
    <w:rsid w:val="00E5073B"/>
    <w:rsid w:val="00E719F9"/>
    <w:rsid w:val="00E8616B"/>
    <w:rsid w:val="00E95264"/>
    <w:rsid w:val="00E97DB5"/>
    <w:rsid w:val="00EB5B34"/>
    <w:rsid w:val="00ED0788"/>
    <w:rsid w:val="00EE2E2A"/>
    <w:rsid w:val="00F10B1F"/>
    <w:rsid w:val="00F43299"/>
    <w:rsid w:val="00F74364"/>
    <w:rsid w:val="00FC39B3"/>
    <w:rsid w:val="00FE1DA3"/>
    <w:rsid w:val="00FF05ED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FE5D2"/>
  <w15:chartTrackingRefBased/>
  <w15:docId w15:val="{8240BBFE-6895-40E5-95D1-3D7EAD6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332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332B3"/>
  </w:style>
  <w:style w:type="character" w:styleId="Hiperhivatkozs">
    <w:name w:val="Hyperlink"/>
    <w:rsid w:val="00C66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1384</Words>
  <Characters>9551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Tájékoztatás</vt:lpstr>
    </vt:vector>
  </TitlesOfParts>
  <Company>Magán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Tájékoztatás</dc:title>
  <dc:subject/>
  <dc:creator>Rátai Attila</dc:creator>
  <cp:keywords/>
  <dc:description/>
  <cp:lastModifiedBy>Attila Rátai</cp:lastModifiedBy>
  <cp:revision>21</cp:revision>
  <dcterms:created xsi:type="dcterms:W3CDTF">2017-01-04T08:11:00Z</dcterms:created>
  <dcterms:modified xsi:type="dcterms:W3CDTF">2026-03-19T23:26:00Z</dcterms:modified>
</cp:coreProperties>
</file>